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572912" w:rsidRDefault="004F79B8" w:rsidP="00572912">
      <w:pPr>
        <w:ind w:left="1560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D372D4" w:rsidRDefault="00D372D4" w:rsidP="00D372D4">
      <w:pPr>
        <w:rPr>
          <w:lang w:val="uk-UA"/>
        </w:rPr>
      </w:pPr>
    </w:p>
    <w:tbl>
      <w:tblPr>
        <w:tblpPr w:leftFromText="180" w:rightFromText="180" w:vertAnchor="text" w:horzAnchor="margin" w:tblpY="239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D372D4" w:rsidRPr="001D1543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2D4" w:rsidRPr="001D1543" w:rsidRDefault="00D372D4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D1543">
              <w:fldChar w:fldCharType="begin"/>
            </w:r>
            <w:r w:rsidRPr="001D1543">
              <w:instrText xml:space="preserve"> INCLUDEPICTURE "https://ztrchess.files.wordpress.com/2015/07/myr_gerb.gif?w=748" \* MERGEFORMATINET </w:instrText>
            </w:r>
            <w:r w:rsidRPr="001D1543">
              <w:fldChar w:fldCharType="separate"/>
            </w:r>
            <w:r w:rsidRPr="001D154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style="width:99pt;height:124.5pt">
                  <v:imagedata r:id="rId5" r:href="rId6"/>
                </v:shape>
              </w:pict>
            </w:r>
            <w:r w:rsidRPr="001D1543"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2D4" w:rsidRPr="001D1543" w:rsidRDefault="00D372D4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D1543">
              <w:rPr>
                <w:b/>
                <w:sz w:val="28"/>
                <w:szCs w:val="28"/>
              </w:rPr>
              <w:t>МИРГОРОДСЬКА МІСЬКА РАДА</w:t>
            </w:r>
          </w:p>
          <w:p w:rsidR="00D372D4" w:rsidRPr="001D1543" w:rsidRDefault="00D372D4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1D1543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372D4" w:rsidRPr="001D1543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1D1543">
              <w:rPr>
                <w:b/>
                <w:sz w:val="28"/>
                <w:szCs w:val="28"/>
                <w:lang w:val="uk-UA"/>
              </w:rPr>
              <w:t>Інформаційна карта</w:t>
            </w:r>
          </w:p>
          <w:p w:rsidR="00D372D4" w:rsidRPr="001D1543" w:rsidRDefault="00D372D4" w:rsidP="00732F07">
            <w:pPr>
              <w:rPr>
                <w:b/>
                <w:sz w:val="28"/>
                <w:szCs w:val="28"/>
                <w:lang w:val="uk-UA"/>
              </w:rPr>
            </w:pPr>
          </w:p>
          <w:p w:rsidR="00D372D4" w:rsidRPr="001D1543" w:rsidRDefault="00D372D4" w:rsidP="00732F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1543">
              <w:rPr>
                <w:b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D372D4" w:rsidRPr="001D1543" w:rsidRDefault="00D372D4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1D1543">
              <w:rPr>
                <w:b/>
              </w:rPr>
              <w:t>ІК-</w:t>
            </w:r>
            <w:r w:rsidRPr="001D1543">
              <w:rPr>
                <w:b/>
                <w:lang w:val="uk-UA"/>
              </w:rPr>
              <w:t>5-3-6</w:t>
            </w:r>
          </w:p>
          <w:p w:rsidR="00D372D4" w:rsidRPr="001D1543" w:rsidRDefault="00D372D4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1D1543">
              <w:rPr>
                <w:b/>
                <w:lang w:val="uk-UA"/>
              </w:rPr>
              <w:t>00043*</w:t>
            </w:r>
          </w:p>
          <w:p w:rsidR="00D372D4" w:rsidRPr="001D1543" w:rsidRDefault="00D372D4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D372D4" w:rsidRPr="001D1543" w:rsidRDefault="00D372D4" w:rsidP="00D372D4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1D1543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1D1543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D372D4" w:rsidRPr="001D1543" w:rsidRDefault="00D372D4" w:rsidP="00732F07">
            <w:pPr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 xml:space="preserve">вул. Гоголя, 171/1  </w:t>
            </w:r>
          </w:p>
          <w:p w:rsidR="00D372D4" w:rsidRPr="001D1543" w:rsidRDefault="00D372D4" w:rsidP="00732F07">
            <w:pPr>
              <w:jc w:val="both"/>
              <w:rPr>
                <w:lang w:val="uk-UA"/>
              </w:rPr>
            </w:pPr>
            <w:proofErr w:type="spellStart"/>
            <w:r w:rsidRPr="001D1543">
              <w:rPr>
                <w:lang w:val="uk-UA"/>
              </w:rPr>
              <w:t>тел</w:t>
            </w:r>
            <w:proofErr w:type="spellEnd"/>
            <w:r w:rsidRPr="001D1543">
              <w:rPr>
                <w:lang w:val="uk-UA"/>
              </w:rPr>
              <w:t>/факс (05355) 5-03-18</w:t>
            </w:r>
          </w:p>
          <w:p w:rsidR="00D372D4" w:rsidRPr="001D1543" w:rsidRDefault="00D372D4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1D1543">
              <w:rPr>
                <w:sz w:val="22"/>
                <w:lang w:val="x-none" w:eastAsia="ru-RU"/>
              </w:rPr>
              <w:t>http://myrgorod.pl.ua</w:t>
            </w:r>
          </w:p>
          <w:p w:rsidR="00D372D4" w:rsidRPr="001D1543" w:rsidRDefault="00D372D4" w:rsidP="00732F07">
            <w:pPr>
              <w:rPr>
                <w:sz w:val="22"/>
                <w:lang w:val="uk-UA" w:eastAsia="ru-RU"/>
              </w:rPr>
            </w:pPr>
            <w:r w:rsidRPr="001D1543">
              <w:rPr>
                <w:sz w:val="22"/>
                <w:lang w:val="en-US" w:eastAsia="ru-RU"/>
              </w:rPr>
              <w:t>e</w:t>
            </w:r>
            <w:r w:rsidRPr="001D1543">
              <w:rPr>
                <w:sz w:val="22"/>
                <w:lang w:val="uk-UA" w:eastAsia="ru-RU"/>
              </w:rPr>
              <w:t>-</w:t>
            </w:r>
            <w:r w:rsidRPr="001D1543">
              <w:rPr>
                <w:sz w:val="22"/>
                <w:lang w:val="en-US" w:eastAsia="ru-RU"/>
              </w:rPr>
              <w:t>mail</w:t>
            </w:r>
            <w:r w:rsidRPr="001D1543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1D1543">
              <w:rPr>
                <w:sz w:val="22"/>
                <w:lang w:val="en-US" w:eastAsia="ru-RU"/>
              </w:rPr>
              <w:t>cnap_mirgorod</w:t>
            </w:r>
            <w:proofErr w:type="spellEnd"/>
            <w:r w:rsidRPr="001D1543">
              <w:rPr>
                <w:sz w:val="22"/>
                <w:lang w:val="uk-UA" w:eastAsia="ru-RU"/>
              </w:rPr>
              <w:t>@</w:t>
            </w:r>
            <w:proofErr w:type="spellStart"/>
            <w:r w:rsidRPr="001D1543">
              <w:rPr>
                <w:sz w:val="22"/>
                <w:lang w:val="en-US" w:eastAsia="ru-RU"/>
              </w:rPr>
              <w:t>ukr</w:t>
            </w:r>
            <w:proofErr w:type="spellEnd"/>
            <w:r w:rsidRPr="001D1543">
              <w:rPr>
                <w:sz w:val="22"/>
                <w:lang w:val="uk-UA" w:eastAsia="ru-RU"/>
              </w:rPr>
              <w:t>.</w:t>
            </w:r>
            <w:r w:rsidRPr="001D1543">
              <w:rPr>
                <w:sz w:val="22"/>
                <w:lang w:val="en-US" w:eastAsia="ru-RU"/>
              </w:rPr>
              <w:t>net</w:t>
            </w:r>
          </w:p>
          <w:p w:rsidR="00D372D4" w:rsidRPr="001D1543" w:rsidRDefault="00D372D4" w:rsidP="00732F07">
            <w:pPr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Понеділок - четвер:     08.00 – 17.00</w:t>
            </w:r>
          </w:p>
          <w:p w:rsidR="00D372D4" w:rsidRPr="001D1543" w:rsidRDefault="00D372D4" w:rsidP="00732F07">
            <w:pPr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П’ятниця:                     08.00 – 15.45</w:t>
            </w:r>
          </w:p>
        </w:tc>
      </w:tr>
      <w:tr w:rsidR="00D372D4" w:rsidRPr="001D1543" w:rsidTr="00732F0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en-US"/>
              </w:rPr>
              <w:t>3</w:t>
            </w:r>
            <w:r w:rsidRPr="001D1543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rPr>
                <w:lang w:val="uk-UA"/>
              </w:rPr>
            </w:pPr>
            <w:r w:rsidRPr="001D1543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uppressAutoHyphens w:val="0"/>
              <w:ind w:firstLine="223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Заява про скасування;</w:t>
            </w:r>
          </w:p>
          <w:p w:rsidR="00D372D4" w:rsidRPr="001D1543" w:rsidRDefault="00D372D4" w:rsidP="00732F07">
            <w:p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 w:rsidRPr="001D1543">
              <w:rPr>
                <w:lang w:val="uk-UA" w:eastAsia="uk-UA"/>
              </w:rPr>
              <w:t xml:space="preserve">    судове рішення</w:t>
            </w:r>
            <w:r w:rsidRPr="001D1543">
              <w:rPr>
                <w:lang w:val="uk-UA"/>
              </w:rPr>
              <w:t>, що набрало законної сили.</w:t>
            </w:r>
          </w:p>
        </w:tc>
      </w:tr>
      <w:tr w:rsidR="00D372D4" w:rsidRPr="001D1543" w:rsidTr="00732F07">
        <w:trPr>
          <w:trHeight w:val="5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en-US"/>
              </w:rPr>
              <w:t>4</w:t>
            </w:r>
            <w:r w:rsidRPr="001D1543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u w:val="single"/>
                <w:lang w:val="uk-UA"/>
              </w:rPr>
            </w:pPr>
            <w:r w:rsidRPr="001D1543">
              <w:rPr>
                <w:lang w:val="uk-UA"/>
              </w:rPr>
              <w:t>Адміністративна послуга надається безоплатно</w:t>
            </w:r>
          </w:p>
        </w:tc>
      </w:tr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en-US"/>
              </w:rPr>
              <w:t>5</w:t>
            </w:r>
            <w:r w:rsidRPr="001D1543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1) прийняття рішення про скасування;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внесення запису про скасування/скасування державної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реєстрації речових прав на нерухоме майно та їх обтяжень;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формування витягу з Державного реєстру речових прав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на нерухоме майно про проведену державну реєстрацію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прав;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2) рішення про відмову у скасуванні</w:t>
            </w:r>
          </w:p>
        </w:tc>
      </w:tr>
      <w:tr w:rsidR="00D372D4" w:rsidRPr="001D1543" w:rsidTr="00732F07">
        <w:trPr>
          <w:trHeight w:val="4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en-US"/>
              </w:rPr>
              <w:t>6</w:t>
            </w:r>
            <w:r w:rsidRPr="001D1543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1D1543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b/>
              </w:rPr>
            </w:pPr>
            <w:proofErr w:type="spellStart"/>
            <w:r w:rsidRPr="001D1543">
              <w:t>Надається</w:t>
            </w:r>
            <w:proofErr w:type="spellEnd"/>
            <w:r w:rsidRPr="001D1543">
              <w:t xml:space="preserve"> </w:t>
            </w:r>
            <w:proofErr w:type="gramStart"/>
            <w:r w:rsidRPr="001D1543">
              <w:t>у день</w:t>
            </w:r>
            <w:proofErr w:type="gramEnd"/>
            <w:r w:rsidRPr="001D1543">
              <w:t xml:space="preserve"> </w:t>
            </w:r>
            <w:proofErr w:type="spellStart"/>
            <w:r w:rsidRPr="001D1543">
              <w:t>прийняття</w:t>
            </w:r>
            <w:proofErr w:type="spellEnd"/>
            <w:r w:rsidRPr="001D1543">
              <w:t xml:space="preserve"> заяви</w:t>
            </w:r>
          </w:p>
        </w:tc>
      </w:tr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особисто або уповноваженою особою у паперовій формі</w:t>
            </w:r>
          </w:p>
        </w:tc>
      </w:tr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D372D4">
            <w:pPr>
              <w:numPr>
                <w:ilvl w:val="0"/>
                <w:numId w:val="8"/>
              </w:num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Постанова Кабінету Міністрів України від 25 грудня</w:t>
            </w:r>
          </w:p>
          <w:p w:rsidR="00D372D4" w:rsidRPr="001D1543" w:rsidRDefault="00D372D4" w:rsidP="00732F07">
            <w:pPr>
              <w:snapToGrid w:val="0"/>
              <w:ind w:left="72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2015 року № 1127 «Про державну реєстрацію речових прав на нерухоме майно та їх обтяжень» (зі змінами);</w:t>
            </w:r>
          </w:p>
          <w:p w:rsidR="00D372D4" w:rsidRPr="001D1543" w:rsidRDefault="00D372D4" w:rsidP="00D372D4">
            <w:pPr>
              <w:numPr>
                <w:ilvl w:val="0"/>
                <w:numId w:val="8"/>
              </w:num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:rsidR="00D372D4" w:rsidRPr="001D1543" w:rsidRDefault="00D372D4" w:rsidP="00D372D4">
            <w:pPr>
              <w:numPr>
                <w:ilvl w:val="0"/>
                <w:numId w:val="8"/>
              </w:num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Постанова Кабінету Міністрів України від 06 березня</w:t>
            </w:r>
          </w:p>
          <w:p w:rsidR="00D372D4" w:rsidRPr="001D1543" w:rsidRDefault="00D372D4" w:rsidP="00732F07">
            <w:pPr>
              <w:snapToGrid w:val="0"/>
              <w:ind w:left="72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2022 року № 209 «Деякі питання державної реєстрації та функціонування єдиних та державних реєстрів,</w:t>
            </w:r>
          </w:p>
          <w:p w:rsidR="00D372D4" w:rsidRPr="001D1543" w:rsidRDefault="00D372D4" w:rsidP="00732F07">
            <w:pPr>
              <w:snapToGrid w:val="0"/>
              <w:ind w:left="72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lastRenderedPageBreak/>
              <w:t>держателем яких є Міністерство юстиції, в умовах</w:t>
            </w:r>
          </w:p>
          <w:p w:rsidR="00D372D4" w:rsidRPr="001D1543" w:rsidRDefault="00D372D4" w:rsidP="00732F07">
            <w:pPr>
              <w:ind w:left="720"/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воєнного стану» (зі змінами)</w:t>
            </w:r>
          </w:p>
          <w:p w:rsidR="00D372D4" w:rsidRPr="001D1543" w:rsidRDefault="00D372D4" w:rsidP="00D372D4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D1543">
              <w:rPr>
                <w:lang w:val="uk-UA"/>
              </w:rPr>
              <w:t>Закон України «Про адміністративну процедуру», № 2073-IX від 17 лютого 2022 року</w:t>
            </w:r>
          </w:p>
        </w:tc>
      </w:tr>
      <w:tr w:rsidR="00D372D4" w:rsidRPr="001D1543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1D1543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1) подані документи не відповідають вимогам,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встановленим Законом;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2) подані документи не дають змоги встановити набуття,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зміну або припинення речових прав на нерухоме майно та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їх обтяження;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3) наявні суперечності між заявленими та вже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зареєстрованими речовими правами на нерухоме майно та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їх обтяженнями;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4) після завершення строку, встановленого частиною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третьою статті 23 Закону України «Про державну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реєстрацію речових прав на нерухоме майно та їх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обтяжень», не усунені обставини, що були підставою для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прийняття рішення про зупинення розгляду заяви про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державну реєстрацію прав;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5) заявником подано ті самі документи, на підставі яких</w:t>
            </w:r>
          </w:p>
          <w:p w:rsidR="00D372D4" w:rsidRPr="001D1543" w:rsidRDefault="00D372D4" w:rsidP="00732F07">
            <w:pPr>
              <w:tabs>
                <w:tab w:val="left" w:pos="1565"/>
              </w:tabs>
              <w:suppressAutoHyphens w:val="0"/>
              <w:ind w:firstLine="217"/>
              <w:jc w:val="both"/>
              <w:rPr>
                <w:lang w:val="uk-UA" w:eastAsia="uk-UA"/>
              </w:rPr>
            </w:pPr>
            <w:r w:rsidRPr="001D1543">
              <w:rPr>
                <w:lang w:val="uk-UA" w:eastAsia="uk-UA"/>
              </w:rPr>
              <w:t>заявлене речове право, обтяження вже зареєстровано у</w:t>
            </w:r>
          </w:p>
          <w:p w:rsidR="00D372D4" w:rsidRPr="001D1543" w:rsidRDefault="00D372D4" w:rsidP="00732F07">
            <w:pPr>
              <w:snapToGrid w:val="0"/>
              <w:jc w:val="both"/>
              <w:rPr>
                <w:lang w:val="uk-UA"/>
              </w:rPr>
            </w:pPr>
            <w:r w:rsidRPr="001D1543">
              <w:rPr>
                <w:lang w:val="uk-UA" w:eastAsia="uk-UA"/>
              </w:rPr>
              <w:t xml:space="preserve">    Державному реєстрі прав</w:t>
            </w:r>
          </w:p>
        </w:tc>
      </w:tr>
      <w:tr w:rsidR="00D372D4" w:rsidRPr="00684A03" w:rsidTr="00732F07">
        <w:trPr>
          <w:trHeight w:val="9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Default="00D372D4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D4" w:rsidRDefault="00D372D4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рішень, дій або бездіяльності у сфері державної реєстрації прав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D4" w:rsidRDefault="00D372D4" w:rsidP="00732F07">
            <w:pPr>
              <w:pStyle w:val="rvps2"/>
              <w:spacing w:before="0" w:beforeAutospacing="0" w:after="0" w:afterAutospacing="0"/>
              <w:jc w:val="both"/>
            </w:pPr>
            <w:r>
              <w:rPr>
                <w:rStyle w:val="rvts0"/>
              </w:rPr>
              <w:t>Рішення, дії або бездіяльність державного реєстратора, суб’єкта державної реєстрації прав, а також дії, пов’язані з автоматичною державною реєстрацією прав,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D372D4" w:rsidRDefault="00D372D4" w:rsidP="00D372D4">
      <w:pPr>
        <w:rPr>
          <w:lang w:val="uk-UA"/>
        </w:rPr>
      </w:pPr>
    </w:p>
    <w:p w:rsidR="00D372D4" w:rsidRDefault="00D372D4" w:rsidP="00D372D4">
      <w:pPr>
        <w:rPr>
          <w:lang w:val="uk-UA"/>
        </w:rPr>
      </w:pPr>
    </w:p>
    <w:p w:rsidR="00D372D4" w:rsidRDefault="00D372D4" w:rsidP="00D372D4">
      <w:pPr>
        <w:rPr>
          <w:lang w:val="uk-UA"/>
        </w:rPr>
      </w:pPr>
    </w:p>
    <w:p w:rsidR="00F977C9" w:rsidRDefault="00F977C9" w:rsidP="00F977C9">
      <w:pPr>
        <w:rPr>
          <w:lang w:val="uk-UA"/>
        </w:rPr>
      </w:pPr>
      <w:bookmarkStart w:id="0" w:name="_GoBack"/>
      <w:bookmarkEnd w:id="0"/>
    </w:p>
    <w:p w:rsidR="00F977C9" w:rsidRDefault="00F977C9" w:rsidP="00F977C9">
      <w:pPr>
        <w:rPr>
          <w:lang w:val="uk-UA"/>
        </w:rPr>
      </w:pPr>
    </w:p>
    <w:p w:rsidR="004F79B8" w:rsidRPr="00574707" w:rsidRDefault="004F79B8" w:rsidP="00572912">
      <w:pPr>
        <w:ind w:left="1701"/>
        <w:rPr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974C3D"/>
    <w:rsid w:val="009944BE"/>
    <w:rsid w:val="009C362D"/>
    <w:rsid w:val="00A14985"/>
    <w:rsid w:val="00A90357"/>
    <w:rsid w:val="00C05591"/>
    <w:rsid w:val="00C775B8"/>
    <w:rsid w:val="00CA7532"/>
    <w:rsid w:val="00CB6782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2024-06-26T06:45:00Z</dcterms:created>
  <dcterms:modified xsi:type="dcterms:W3CDTF">2024-06-26T06:45:00Z</dcterms:modified>
</cp:coreProperties>
</file>