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r w:rsidRPr="00375127">
        <w:t xml:space="preserve">Додаток </w:t>
      </w:r>
      <w:r w:rsidR="004E03CC">
        <w:rPr>
          <w:lang w:val="uk-UA"/>
        </w:rPr>
        <w:t>7</w:t>
      </w:r>
      <w:r w:rsidR="00BA42A0">
        <w:rPr>
          <w:lang w:val="en-US"/>
        </w:rPr>
        <w:t>2</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BA42A0" w:rsidRPr="00E021AC" w:rsidRDefault="00BA42A0" w:rsidP="00BA42A0">
      <w:pPr>
        <w:rPr>
          <w:lang w:val="uk-UA"/>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p w:rsidR="00BA42A0" w:rsidRPr="00375127" w:rsidRDefault="00BA42A0" w:rsidP="00BA42A0">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BA42A0"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BA42A0" w:rsidRPr="00375127" w:rsidRDefault="00BA42A0" w:rsidP="002A5CB5">
            <w:pPr>
              <w:snapToGrid w:val="0"/>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BA42A0" w:rsidRPr="00375127" w:rsidRDefault="00BA42A0" w:rsidP="002A5CB5">
            <w:pPr>
              <w:autoSpaceDE w:val="0"/>
              <w:snapToGrid w:val="0"/>
              <w:jc w:val="center"/>
              <w:rPr>
                <w:b/>
              </w:rPr>
            </w:pPr>
            <w:r w:rsidRPr="00375127">
              <w:rPr>
                <w:b/>
              </w:rPr>
              <w:t>МИРГОРОДСЬКА МІСЬКА РАДА</w:t>
            </w:r>
          </w:p>
          <w:p w:rsidR="00BA42A0" w:rsidRPr="00375127" w:rsidRDefault="00BA42A0" w:rsidP="002A5CB5">
            <w:pPr>
              <w:autoSpaceDE w:val="0"/>
              <w:jc w:val="center"/>
              <w:rPr>
                <w:b/>
              </w:rPr>
            </w:pPr>
            <w:r w:rsidRPr="00375127">
              <w:rPr>
                <w:b/>
              </w:rPr>
              <w:t>ВИКОНАВЧИЙ КОМІТЕТ</w:t>
            </w:r>
          </w:p>
        </w:tc>
      </w:tr>
      <w:tr w:rsidR="00BA42A0"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BA42A0" w:rsidRPr="00375127" w:rsidRDefault="00BA42A0" w:rsidP="002A5CB5">
            <w:pPr>
              <w:rPr>
                <w:b/>
              </w:rPr>
            </w:pPr>
          </w:p>
        </w:tc>
        <w:tc>
          <w:tcPr>
            <w:tcW w:w="5406"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center"/>
              <w:rPr>
                <w:b/>
              </w:rPr>
            </w:pPr>
            <w:r w:rsidRPr="00375127">
              <w:rPr>
                <w:b/>
              </w:rPr>
              <w:t>Інформаційна карта</w:t>
            </w:r>
          </w:p>
          <w:p w:rsidR="00BA42A0" w:rsidRPr="00375127" w:rsidRDefault="00BA42A0" w:rsidP="002A5CB5">
            <w:pPr>
              <w:tabs>
                <w:tab w:val="center" w:pos="4536"/>
                <w:tab w:val="right" w:pos="9072"/>
              </w:tabs>
              <w:jc w:val="center"/>
              <w:rPr>
                <w:rStyle w:val="rvts23"/>
                <w:b/>
                <w:bCs/>
                <w:bdr w:val="none" w:sz="0" w:space="0" w:color="auto" w:frame="1"/>
              </w:rPr>
            </w:pPr>
          </w:p>
          <w:p w:rsidR="00BA42A0" w:rsidRPr="00375127" w:rsidRDefault="00BA42A0" w:rsidP="002A5CB5">
            <w:pPr>
              <w:tabs>
                <w:tab w:val="center" w:pos="4536"/>
                <w:tab w:val="right" w:pos="9072"/>
              </w:tabs>
              <w:jc w:val="center"/>
              <w:rPr>
                <w:b/>
              </w:rPr>
            </w:pPr>
            <w:r w:rsidRPr="00375127">
              <w:rPr>
                <w:b/>
                <w:bCs/>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930" w:type="dxa"/>
            <w:tcBorders>
              <w:top w:val="single" w:sz="4" w:space="0" w:color="000000"/>
              <w:left w:val="single" w:sz="4" w:space="0" w:color="000000"/>
              <w:bottom w:val="single" w:sz="4" w:space="0" w:color="000000"/>
              <w:right w:val="single" w:sz="4" w:space="0" w:color="000000"/>
            </w:tcBorders>
          </w:tcPr>
          <w:p w:rsidR="00BA42A0" w:rsidRPr="00375127" w:rsidRDefault="00BA42A0" w:rsidP="002A5CB5">
            <w:pPr>
              <w:pStyle w:val="a5"/>
              <w:snapToGrid w:val="0"/>
              <w:jc w:val="center"/>
              <w:rPr>
                <w:b/>
              </w:rPr>
            </w:pPr>
          </w:p>
          <w:p w:rsidR="00BA42A0" w:rsidRDefault="00BA42A0" w:rsidP="002A5CB5">
            <w:pPr>
              <w:pStyle w:val="a5"/>
              <w:snapToGrid w:val="0"/>
              <w:jc w:val="center"/>
              <w:rPr>
                <w:b/>
                <w:lang w:val="uk-UA"/>
              </w:rPr>
            </w:pPr>
          </w:p>
          <w:p w:rsidR="00BA42A0" w:rsidRDefault="00BA42A0" w:rsidP="002A5CB5">
            <w:pPr>
              <w:pStyle w:val="a5"/>
              <w:snapToGrid w:val="0"/>
              <w:jc w:val="center"/>
              <w:rPr>
                <w:b/>
                <w:lang w:val="uk-UA"/>
              </w:rPr>
            </w:pPr>
          </w:p>
          <w:p w:rsidR="00BA42A0" w:rsidRPr="00375127" w:rsidRDefault="00BA42A0" w:rsidP="002A5CB5">
            <w:pPr>
              <w:pStyle w:val="a5"/>
              <w:snapToGrid w:val="0"/>
              <w:jc w:val="center"/>
              <w:rPr>
                <w:b/>
                <w:lang w:val="uk-UA"/>
              </w:rPr>
            </w:pPr>
            <w:r w:rsidRPr="00375127">
              <w:rPr>
                <w:b/>
              </w:rPr>
              <w:t>ІК</w:t>
            </w:r>
            <w:r w:rsidRPr="00375127">
              <w:rPr>
                <w:b/>
                <w:lang w:val="uk-UA"/>
              </w:rPr>
              <w:t xml:space="preserve">  3-4-11</w:t>
            </w:r>
          </w:p>
          <w:p w:rsidR="00BA42A0" w:rsidRPr="00724494" w:rsidRDefault="00BA42A0" w:rsidP="002A5CB5">
            <w:pPr>
              <w:pStyle w:val="a5"/>
              <w:snapToGrid w:val="0"/>
              <w:jc w:val="center"/>
              <w:rPr>
                <w:b/>
                <w:i/>
                <w:iCs/>
                <w:shd w:val="clear" w:color="auto" w:fill="FFFF00"/>
              </w:rPr>
            </w:pPr>
            <w:r w:rsidRPr="00724494">
              <w:rPr>
                <w:b/>
                <w:i/>
                <w:iCs/>
              </w:rPr>
              <w:t>01255*</w:t>
            </w:r>
          </w:p>
          <w:p w:rsidR="00BA42A0" w:rsidRPr="00375127" w:rsidRDefault="00BA42A0" w:rsidP="002A5CB5">
            <w:pPr>
              <w:pStyle w:val="a5"/>
              <w:jc w:val="center"/>
              <w:rPr>
                <w:b/>
                <w:shd w:val="clear" w:color="auto" w:fill="FFFF00"/>
              </w:rPr>
            </w:pPr>
          </w:p>
        </w:tc>
      </w:tr>
    </w:tbl>
    <w:p w:rsidR="00BA42A0" w:rsidRPr="00375127" w:rsidRDefault="00BA42A0" w:rsidP="00BA42A0">
      <w:pPr>
        <w:rPr>
          <w:vanish/>
        </w:rPr>
      </w:pPr>
    </w:p>
    <w:tbl>
      <w:tblPr>
        <w:tblW w:w="9600" w:type="dxa"/>
        <w:tblLayout w:type="fixed"/>
        <w:tblLook w:val="04A0" w:firstRow="1" w:lastRow="0" w:firstColumn="1" w:lastColumn="0" w:noHBand="0" w:noVBand="1"/>
      </w:tblPr>
      <w:tblGrid>
        <w:gridCol w:w="588"/>
        <w:gridCol w:w="2472"/>
        <w:gridCol w:w="6540"/>
      </w:tblGrid>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snapToGrid w:val="0"/>
              <w:rPr>
                <w:spacing w:val="-3"/>
                <w:shd w:val="clear" w:color="auto" w:fill="FFFF00"/>
              </w:rPr>
            </w:pPr>
            <w:r w:rsidRPr="00375127">
              <w:t>Управління соціального захисту населення Миргородської міської ради</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BA42A0" w:rsidRPr="00375127" w:rsidRDefault="00BA42A0"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BA42A0" w:rsidRPr="00375127" w:rsidRDefault="00BA42A0" w:rsidP="002A5CB5">
            <w:pPr>
              <w:jc w:val="both"/>
            </w:pPr>
            <w:r w:rsidRPr="00375127">
              <w:t>вул. Гоголя,171/1,  тел/факс (05355) 5-03-18</w:t>
            </w:r>
          </w:p>
          <w:p w:rsidR="00BA42A0" w:rsidRPr="00375127" w:rsidRDefault="00BA42A0"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BA42A0" w:rsidRPr="00375127" w:rsidRDefault="00BA42A0" w:rsidP="002A5CB5">
            <w:pPr>
              <w:rPr>
                <w:i/>
                <w:iCs/>
              </w:rPr>
            </w:pPr>
            <w:r w:rsidRPr="00375127">
              <w:rPr>
                <w:i/>
                <w:iCs/>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BA42A0" w:rsidRPr="00375127" w:rsidRDefault="00BA42A0" w:rsidP="002A5CB5">
            <w:r w:rsidRPr="00375127">
              <w:t>понеділок - четвер з 8.00 до 17.00</w:t>
            </w:r>
          </w:p>
          <w:p w:rsidR="00BA42A0" w:rsidRPr="00375127" w:rsidRDefault="00BA42A0" w:rsidP="002A5CB5">
            <w:pPr>
              <w:jc w:val="both"/>
            </w:pPr>
            <w:r w:rsidRPr="00375127">
              <w:t>п’ятниця з 8.00 до 15.45</w:t>
            </w:r>
          </w:p>
          <w:p w:rsidR="00BA42A0" w:rsidRPr="00375127" w:rsidRDefault="00BA42A0" w:rsidP="002A5CB5">
            <w:pPr>
              <w:snapToGrid w:val="0"/>
              <w:jc w:val="both"/>
            </w:pPr>
            <w:r w:rsidRPr="00375127">
              <w:t>перерва з 12.00 до 12.45</w:t>
            </w:r>
          </w:p>
          <w:p w:rsidR="00BA42A0" w:rsidRPr="00375127" w:rsidRDefault="00BA42A0" w:rsidP="002A5CB5">
            <w:pPr>
              <w:jc w:val="both"/>
            </w:pPr>
          </w:p>
          <w:p w:rsidR="00BA42A0" w:rsidRPr="00375127" w:rsidRDefault="00BA42A0"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BA42A0" w:rsidRPr="00375127" w:rsidRDefault="00BA42A0" w:rsidP="002A5CB5">
            <w:pPr>
              <w:jc w:val="both"/>
            </w:pPr>
            <w:r w:rsidRPr="00375127">
              <w:t>вул.Гоголя,92, тел./факс (05355)5-32-81</w:t>
            </w:r>
          </w:p>
          <w:p w:rsidR="00BA42A0" w:rsidRPr="00375127" w:rsidRDefault="00BA42A0"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BA42A0" w:rsidRPr="00375127" w:rsidRDefault="00BA42A0" w:rsidP="002A5CB5">
            <w:r w:rsidRPr="00375127">
              <w:t>понеділок - четвер з 8.00 до 17.00</w:t>
            </w:r>
          </w:p>
          <w:p w:rsidR="00BA42A0" w:rsidRPr="00375127" w:rsidRDefault="00BA42A0" w:rsidP="002A5CB5">
            <w:pPr>
              <w:jc w:val="both"/>
            </w:pPr>
            <w:r w:rsidRPr="00375127">
              <w:t>п’ятниця з 8.00 до 15.45</w:t>
            </w:r>
          </w:p>
          <w:p w:rsidR="00BA42A0" w:rsidRPr="00375127" w:rsidRDefault="00BA42A0" w:rsidP="002A5CB5">
            <w:pPr>
              <w:jc w:val="both"/>
            </w:pPr>
            <w:r w:rsidRPr="00375127">
              <w:t>перерва з 12.00 до 12.45</w:t>
            </w:r>
          </w:p>
        </w:tc>
      </w:tr>
      <w:tr w:rsidR="00BA42A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pPr>
            <w:r w:rsidRPr="00375127">
              <w:t xml:space="preserve">Підстава для отримання </w:t>
            </w:r>
          </w:p>
        </w:tc>
        <w:tc>
          <w:tcPr>
            <w:tcW w:w="6540" w:type="dxa"/>
            <w:tcBorders>
              <w:top w:val="single" w:sz="4" w:space="0" w:color="000000"/>
              <w:left w:val="single" w:sz="4" w:space="0" w:color="000000"/>
              <w:bottom w:val="single" w:sz="4" w:space="0" w:color="000000"/>
              <w:right w:val="single" w:sz="4" w:space="0" w:color="000000"/>
            </w:tcBorders>
          </w:tcPr>
          <w:p w:rsidR="00BA42A0" w:rsidRPr="00375127" w:rsidRDefault="00BA42A0" w:rsidP="002A5CB5">
            <w:pPr>
              <w:jc w:val="both"/>
              <w:rPr>
                <w:i/>
                <w:iCs/>
                <w:lang w:val="uk-UA"/>
              </w:rPr>
            </w:pPr>
            <w:r w:rsidRPr="00375127">
              <w:t>Наявність медичних показань для забезпечення санаторно-курортним лікуванням ос</w:t>
            </w:r>
            <w:r w:rsidRPr="00375127">
              <w:rPr>
                <w:lang w:val="uk-UA"/>
              </w:rPr>
              <w:t>іб</w:t>
            </w:r>
            <w:r w:rsidRPr="00375127">
              <w:t xml:space="preserve"> з інвалідністю внаслідок війни та прирівняним до них ос</w:t>
            </w:r>
            <w:r w:rsidRPr="00375127">
              <w:rPr>
                <w:lang w:val="uk-UA"/>
              </w:rPr>
              <w:t>іб.</w:t>
            </w:r>
          </w:p>
        </w:tc>
      </w:tr>
      <w:tr w:rsidR="00BA42A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pPr>
            <w:r w:rsidRPr="00375127">
              <w:t>Перелік необхідних документів</w:t>
            </w:r>
          </w:p>
        </w:tc>
        <w:tc>
          <w:tcPr>
            <w:tcW w:w="6540" w:type="dxa"/>
            <w:tcBorders>
              <w:top w:val="single" w:sz="4" w:space="0" w:color="000000"/>
              <w:left w:val="single" w:sz="4" w:space="0" w:color="000000"/>
              <w:bottom w:val="single" w:sz="4" w:space="0" w:color="000000"/>
              <w:right w:val="single" w:sz="4" w:space="0" w:color="000000"/>
            </w:tcBorders>
          </w:tcPr>
          <w:p w:rsidR="00BA42A0" w:rsidRPr="00375127" w:rsidRDefault="00BA42A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 xml:space="preserve">Заява про виплату грошової компенсації замість санаторно-курортної путівки особам з інвалідністю внаслідок війни та прирівняним до них особам </w:t>
            </w:r>
            <w:r w:rsidRPr="00375127">
              <w:br/>
              <w:t>(далі – компенсація);</w:t>
            </w:r>
          </w:p>
          <w:p w:rsidR="00BA42A0" w:rsidRPr="00375127" w:rsidRDefault="00BA42A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посвідчення особи, що підтверджує її належність до осіб пільгової категорії;</w:t>
            </w:r>
          </w:p>
          <w:p w:rsidR="00BA42A0" w:rsidRPr="00375127" w:rsidRDefault="00BA42A0" w:rsidP="002A5CB5">
            <w:pPr>
              <w:jc w:val="both"/>
              <w:rPr>
                <w:i/>
                <w:iCs/>
              </w:rPr>
            </w:pPr>
            <w:r w:rsidRPr="00375127">
              <w:t>облікові дані про одержання путівок чи отримання  грошової компенсації</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t xml:space="preserve">Спосіб подання документів </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375127">
              <w:t>Заява та документи, необхідні для призначення компенсації, подаються особою суб’єкту надання адміністративної послуги:</w:t>
            </w:r>
          </w:p>
          <w:p w:rsidR="00BA42A0" w:rsidRPr="00375127" w:rsidRDefault="00BA42A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A42A0" w:rsidRPr="00375127" w:rsidRDefault="00BA42A0" w:rsidP="002A5CB5">
            <w:pPr>
              <w:snapToGrid w:val="0"/>
              <w:jc w:val="both"/>
            </w:pPr>
            <w:r w:rsidRPr="00375127">
              <w:t xml:space="preserve">поштою або в електронній формі через офіційний веб-сайт Мінсоцполітики або інтегровані з ним інформаційні системи </w:t>
            </w:r>
            <w:r w:rsidRPr="00375127">
              <w:lastRenderedPageBreak/>
              <w:t>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Pr>
                <w:spacing w:val="5"/>
                <w:lang w:val="uk-UA"/>
              </w:rPr>
              <w:lastRenderedPageBreak/>
              <w:t>6</w:t>
            </w:r>
            <w:r w:rsidRPr="00375127">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snapToGrid w:val="0"/>
              <w:jc w:val="both"/>
            </w:pPr>
            <w:r w:rsidRPr="00375127">
              <w:t>Адміністративна послуга надається безоплатно</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Pr>
                <w:spacing w:val="5"/>
                <w:lang w:val="uk-UA"/>
              </w:rPr>
              <w:t>7</w:t>
            </w:r>
            <w:r w:rsidRPr="00375127">
              <w:rPr>
                <w:spacing w:val="5"/>
              </w:rPr>
              <w:t>.</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tabs>
                <w:tab w:val="center" w:pos="4536"/>
                <w:tab w:val="right" w:pos="9072"/>
              </w:tabs>
            </w:pPr>
            <w:r w:rsidRPr="00375127">
              <w:t>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Pr>
                <w:spacing w:val="5"/>
                <w:lang w:val="uk-UA"/>
              </w:rPr>
              <w:t>8</w:t>
            </w:r>
            <w:r w:rsidRPr="00375127">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4"/>
              </w:rPr>
            </w:pPr>
            <w:r w:rsidRPr="00375127">
              <w:t xml:space="preserve">Перелік підстав для відмови у наданні </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375127">
              <w:t xml:space="preserve">Подання не в повному обсязі встановленого переліку документів; </w:t>
            </w:r>
          </w:p>
          <w:p w:rsidR="00BA42A0" w:rsidRPr="00375127" w:rsidRDefault="00BA42A0" w:rsidP="002A5CB5">
            <w:pPr>
              <w:widowControl w:val="0"/>
              <w:shd w:val="clear" w:color="auto" w:fill="FFFFFF"/>
              <w:tabs>
                <w:tab w:val="left" w:pos="1282"/>
              </w:tabs>
              <w:autoSpaceDE w:val="0"/>
              <w:snapToGrid w:val="0"/>
              <w:jc w:val="both"/>
            </w:pPr>
            <w:r w:rsidRPr="00375127">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BA42A0"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Pr>
                <w:spacing w:val="5"/>
                <w:lang w:val="uk-UA"/>
              </w:rPr>
              <w:t>9</w:t>
            </w:r>
            <w:r w:rsidRPr="00375127">
              <w:rPr>
                <w:spacing w:val="5"/>
              </w:rPr>
              <w:t>.</w:t>
            </w:r>
          </w:p>
        </w:tc>
        <w:tc>
          <w:tcPr>
            <w:tcW w:w="2472" w:type="dxa"/>
            <w:tcBorders>
              <w:top w:val="single" w:sz="4" w:space="0" w:color="000000"/>
              <w:left w:val="single" w:sz="4" w:space="0" w:color="000000"/>
              <w:bottom w:val="single" w:sz="4" w:space="0" w:color="000000"/>
              <w:right w:val="nil"/>
            </w:tcBorders>
          </w:tcPr>
          <w:p w:rsidR="00BA42A0" w:rsidRPr="00375127" w:rsidRDefault="00BA42A0" w:rsidP="002A5CB5">
            <w:pPr>
              <w:jc w:val="both"/>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jc w:val="both"/>
            </w:pPr>
            <w:r w:rsidRPr="00375127">
              <w:t>Призначення компенсації / відмова у призначені компенсації</w:t>
            </w:r>
          </w:p>
        </w:tc>
      </w:tr>
      <w:tr w:rsidR="00BA42A0" w:rsidRPr="00375127" w:rsidTr="002A5CB5">
        <w:tc>
          <w:tcPr>
            <w:tcW w:w="588"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rPr>
                <w:spacing w:val="5"/>
              </w:rPr>
              <w:t>1</w:t>
            </w:r>
            <w:r>
              <w:rPr>
                <w:spacing w:val="5"/>
                <w:lang w:val="uk-UA"/>
              </w:rPr>
              <w:t>0</w:t>
            </w:r>
            <w:r w:rsidRPr="00375127">
              <w:rPr>
                <w:spacing w:val="5"/>
              </w:rPr>
              <w:t>.</w:t>
            </w:r>
          </w:p>
        </w:tc>
        <w:tc>
          <w:tcPr>
            <w:tcW w:w="2472" w:type="dxa"/>
            <w:tcBorders>
              <w:top w:val="single" w:sz="4" w:space="0" w:color="000000"/>
              <w:left w:val="single" w:sz="4" w:space="0" w:color="000000"/>
              <w:bottom w:val="single" w:sz="4" w:space="0" w:color="000000"/>
              <w:right w:val="nil"/>
            </w:tcBorders>
            <w:hideMark/>
          </w:tcPr>
          <w:p w:rsidR="00BA42A0" w:rsidRPr="00375127" w:rsidRDefault="00BA42A0" w:rsidP="002A5CB5">
            <w:pPr>
              <w:snapToGrid w:val="0"/>
              <w:jc w:val="both"/>
              <w:rPr>
                <w:spacing w:val="5"/>
              </w:rPr>
            </w:pPr>
            <w:r w:rsidRPr="00375127">
              <w:t>Способи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BA42A0" w:rsidRPr="00375127" w:rsidRDefault="00BA42A0" w:rsidP="002A5CB5">
            <w:pPr>
              <w:shd w:val="clear" w:color="auto" w:fill="FFFFFF"/>
              <w:ind w:firstLine="20"/>
            </w:pPr>
            <w:r w:rsidRPr="00375127">
              <w:t xml:space="preserve">Повідомлення про призначення компенсації видається  одержувачу. </w:t>
            </w:r>
          </w:p>
          <w:p w:rsidR="00BA42A0" w:rsidRPr="00375127" w:rsidRDefault="00BA42A0" w:rsidP="002A5CB5">
            <w:pPr>
              <w:pStyle w:val="a3"/>
              <w:ind w:left="0"/>
              <w:jc w:val="both"/>
              <w:rPr>
                <w:sz w:val="24"/>
                <w:szCs w:val="24"/>
              </w:rPr>
            </w:pPr>
            <w:r w:rsidRPr="00375127">
              <w:rPr>
                <w:sz w:val="24"/>
                <w:szCs w:val="24"/>
              </w:rPr>
              <w:t>Компенсацію можна отримати через поштове відділення зв’язку або через уповноважені банки, визначені в установленому порядку</w:t>
            </w:r>
          </w:p>
        </w:tc>
      </w:tr>
      <w:tr w:rsidR="00BA42A0" w:rsidRPr="00375127" w:rsidTr="002A5CB5">
        <w:tc>
          <w:tcPr>
            <w:tcW w:w="588" w:type="dxa"/>
            <w:tcBorders>
              <w:top w:val="single" w:sz="4" w:space="0" w:color="000000"/>
              <w:left w:val="single" w:sz="4" w:space="0" w:color="000000"/>
              <w:bottom w:val="single" w:sz="4" w:space="0" w:color="000000"/>
              <w:right w:val="nil"/>
            </w:tcBorders>
          </w:tcPr>
          <w:p w:rsidR="00BA42A0" w:rsidRPr="00314FBA" w:rsidRDefault="00BA42A0" w:rsidP="002A5CB5">
            <w:pPr>
              <w:snapToGrid w:val="0"/>
              <w:jc w:val="both"/>
              <w:rPr>
                <w:spacing w:val="5"/>
                <w:lang w:val="uk-UA"/>
              </w:rPr>
            </w:pPr>
            <w:r>
              <w:rPr>
                <w:spacing w:val="5"/>
                <w:lang w:val="uk-UA"/>
              </w:rPr>
              <w:t>11.</w:t>
            </w:r>
          </w:p>
        </w:tc>
        <w:tc>
          <w:tcPr>
            <w:tcW w:w="2472" w:type="dxa"/>
            <w:tcBorders>
              <w:top w:val="single" w:sz="4" w:space="0" w:color="000000"/>
              <w:left w:val="single" w:sz="4" w:space="0" w:color="000000"/>
              <w:bottom w:val="single" w:sz="4" w:space="0" w:color="000000"/>
              <w:right w:val="nil"/>
            </w:tcBorders>
          </w:tcPr>
          <w:p w:rsidR="00BA42A0" w:rsidRPr="00375127" w:rsidRDefault="00BA42A0" w:rsidP="002A5CB5">
            <w:pPr>
              <w:snapToGrid w:val="0"/>
              <w:jc w:val="both"/>
            </w:pPr>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BA42A0" w:rsidRPr="00375127" w:rsidRDefault="00BA42A0" w:rsidP="002A5CB5">
            <w:pPr>
              <w:snapToGrid w:val="0"/>
              <w:jc w:val="both"/>
            </w:pPr>
            <w:r w:rsidRPr="00375127">
              <w:t xml:space="preserve">1.Закон України „Про статус ветеранів війни, гарантії соціального захисту” від 22.10.1993 № 3551-ХІІ, „Про жертви нацистських переслідувань” від 23.03.2000 </w:t>
            </w:r>
            <w:r w:rsidRPr="00375127">
              <w:br/>
              <w:t>№ 1584-ІІІ</w:t>
            </w:r>
          </w:p>
          <w:p w:rsidR="00BA42A0" w:rsidRPr="00375127" w:rsidRDefault="00BA42A0" w:rsidP="002A5CB5">
            <w:pPr>
              <w:snapToGrid w:val="0"/>
              <w:jc w:val="both"/>
            </w:pPr>
            <w:r w:rsidRPr="00375127">
              <w:t xml:space="preserve">2.Постанова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(із змінами); </w:t>
            </w:r>
          </w:p>
          <w:p w:rsidR="00BA42A0" w:rsidRPr="00375127" w:rsidRDefault="00BA42A0" w:rsidP="002A5CB5">
            <w:pPr>
              <w:pStyle w:val="a3"/>
              <w:ind w:left="0"/>
              <w:jc w:val="both"/>
              <w:rPr>
                <w:sz w:val="24"/>
                <w:szCs w:val="24"/>
              </w:rPr>
            </w:pPr>
            <w:r w:rsidRPr="00375127">
              <w:rPr>
                <w:sz w:val="24"/>
                <w:szCs w:val="24"/>
              </w:rPr>
              <w:t>3.Наказ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BA42A0" w:rsidRPr="00682FC2" w:rsidTr="002A5CB5">
        <w:tc>
          <w:tcPr>
            <w:tcW w:w="588" w:type="dxa"/>
            <w:tcBorders>
              <w:top w:val="single" w:sz="4" w:space="0" w:color="000000"/>
              <w:left w:val="single" w:sz="4" w:space="0" w:color="000000"/>
              <w:bottom w:val="single" w:sz="4" w:space="0" w:color="000000"/>
              <w:right w:val="nil"/>
            </w:tcBorders>
            <w:shd w:val="clear" w:color="auto" w:fill="auto"/>
          </w:tcPr>
          <w:p w:rsidR="00BA42A0" w:rsidRPr="00232713" w:rsidRDefault="00BA42A0" w:rsidP="002A5CB5">
            <w:pPr>
              <w:snapToGrid w:val="0"/>
              <w:jc w:val="both"/>
              <w:rPr>
                <w:spacing w:val="5"/>
              </w:rPr>
            </w:pPr>
            <w:r w:rsidRPr="00232713">
              <w:rPr>
                <w:spacing w:val="5"/>
              </w:rPr>
              <w:t>1</w:t>
            </w:r>
            <w:r>
              <w:rPr>
                <w:spacing w:val="5"/>
                <w:lang w:val="uk-UA"/>
              </w:rPr>
              <w:t>2</w:t>
            </w:r>
            <w:r w:rsidRPr="00232713">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BA42A0" w:rsidRPr="00232713" w:rsidRDefault="00BA42A0" w:rsidP="002A5CB5">
            <w:pPr>
              <w:snapToGrid w:val="0"/>
              <w:jc w:val="both"/>
              <w:rPr>
                <w:spacing w:val="5"/>
              </w:rPr>
            </w:pPr>
            <w:r w:rsidRPr="00232713">
              <w:rPr>
                <w:spacing w:val="5"/>
              </w:rPr>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BA42A0" w:rsidRPr="00232713" w:rsidRDefault="00BA42A0" w:rsidP="002A5CB5">
            <w:pPr>
              <w:snapToGrid w:val="0"/>
              <w:jc w:val="both"/>
            </w:pPr>
            <w:r w:rsidRPr="00232713">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BA42A0" w:rsidRPr="00232713" w:rsidRDefault="00BA42A0" w:rsidP="00BA42A0">
            <w:pPr>
              <w:numPr>
                <w:ilvl w:val="0"/>
                <w:numId w:val="1"/>
              </w:numPr>
              <w:snapToGrid w:val="0"/>
              <w:ind w:left="342"/>
              <w:jc w:val="both"/>
            </w:pPr>
            <w:r w:rsidRPr="00232713">
              <w:t xml:space="preserve">до </w:t>
            </w:r>
            <w:r>
              <w:rPr>
                <w:lang w:val="uk-UA"/>
              </w:rPr>
              <w:t>Управління у справах реінтеграції, соціального захисту ветеранів та внутрішньо переміщених осіб</w:t>
            </w:r>
            <w:r w:rsidRPr="00406A0F">
              <w:t xml:space="preserve"> </w:t>
            </w:r>
            <w:r w:rsidRPr="00232713">
              <w:t>Полтавської обласної військової адміністрації;</w:t>
            </w:r>
          </w:p>
          <w:p w:rsidR="00BA42A0" w:rsidRPr="00232713" w:rsidRDefault="00BA42A0" w:rsidP="00BA42A0">
            <w:pPr>
              <w:numPr>
                <w:ilvl w:val="0"/>
                <w:numId w:val="1"/>
              </w:numPr>
              <w:snapToGrid w:val="0"/>
              <w:ind w:left="342"/>
              <w:jc w:val="both"/>
            </w:pPr>
            <w:r w:rsidRPr="00232713">
              <w:t>до суду</w:t>
            </w:r>
          </w:p>
        </w:tc>
      </w:tr>
    </w:tbl>
    <w:p w:rsidR="00BA42A0" w:rsidRPr="00375127" w:rsidRDefault="00BA42A0" w:rsidP="00BA42A0"/>
    <w:p w:rsidR="00BA42A0" w:rsidRPr="00375127" w:rsidRDefault="00BA42A0" w:rsidP="00BA42A0"/>
    <w:p w:rsidR="00BA42A0" w:rsidRPr="00375127" w:rsidRDefault="00BA42A0" w:rsidP="00BA42A0"/>
    <w:p w:rsidR="00B02838" w:rsidRPr="00375127" w:rsidRDefault="00B02838" w:rsidP="00B02838">
      <w:pPr>
        <w:rPr>
          <w:color w:val="FF0000"/>
        </w:rPr>
      </w:pPr>
      <w:bookmarkStart w:id="0" w:name="_GoBack"/>
      <w:bookmarkEnd w:id="0"/>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2024-06-03T10:50:00Z</dcterms:created>
  <dcterms:modified xsi:type="dcterms:W3CDTF">2024-06-03T10:50:00Z</dcterms:modified>
</cp:coreProperties>
</file>