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r w:rsidRPr="00375127">
        <w:t xml:space="preserve">Додаток </w:t>
      </w:r>
      <w:r w:rsidR="004E03CC">
        <w:rPr>
          <w:lang w:val="uk-UA"/>
        </w:rPr>
        <w:t>7</w:t>
      </w:r>
      <w:r w:rsidR="000F0033">
        <w:rPr>
          <w:lang w:val="en-US"/>
        </w:rPr>
        <w:t>1</w:t>
      </w:r>
      <w:bookmarkStart w:id="0" w:name="_GoBack"/>
      <w:bookmarkEnd w:id="0"/>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83175" w:rsidRPr="00E021AC" w:rsidRDefault="00283175" w:rsidP="00283175">
      <w:pPr>
        <w:rPr>
          <w:lang w:val="uk-UA"/>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p w:rsidR="00283175" w:rsidRPr="00375127" w:rsidRDefault="00283175" w:rsidP="00283175">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283175"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283175" w:rsidRPr="00375127" w:rsidRDefault="00283175" w:rsidP="002A5CB5">
            <w:pPr>
              <w:snapToGrid w:val="0"/>
              <w:spacing w:line="256" w:lineRule="auto"/>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283175" w:rsidRPr="00375127" w:rsidRDefault="00283175" w:rsidP="002A5CB5">
            <w:pPr>
              <w:autoSpaceDE w:val="0"/>
              <w:snapToGrid w:val="0"/>
              <w:spacing w:line="256" w:lineRule="auto"/>
              <w:jc w:val="center"/>
              <w:rPr>
                <w:b/>
              </w:rPr>
            </w:pPr>
            <w:r w:rsidRPr="00375127">
              <w:rPr>
                <w:b/>
              </w:rPr>
              <w:t>МИРГОРОДСЬКА МІСЬКА РАДА</w:t>
            </w:r>
          </w:p>
          <w:p w:rsidR="00283175" w:rsidRPr="00375127" w:rsidRDefault="00283175" w:rsidP="002A5CB5">
            <w:pPr>
              <w:autoSpaceDE w:val="0"/>
              <w:spacing w:line="256" w:lineRule="auto"/>
              <w:jc w:val="center"/>
              <w:rPr>
                <w:b/>
              </w:rPr>
            </w:pPr>
            <w:r w:rsidRPr="00375127">
              <w:rPr>
                <w:b/>
              </w:rPr>
              <w:t>ВИКОНАВЧИЙ КОМІТЕТ</w:t>
            </w:r>
          </w:p>
        </w:tc>
      </w:tr>
      <w:tr w:rsidR="00283175"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283175" w:rsidRPr="00375127" w:rsidRDefault="00283175"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spacing w:line="256" w:lineRule="auto"/>
              <w:jc w:val="center"/>
              <w:rPr>
                <w:b/>
              </w:rPr>
            </w:pPr>
            <w:r w:rsidRPr="00375127">
              <w:rPr>
                <w:b/>
              </w:rPr>
              <w:t>Інформаційна карта</w:t>
            </w:r>
          </w:p>
          <w:p w:rsidR="00283175" w:rsidRDefault="00283175" w:rsidP="002A5CB5">
            <w:pPr>
              <w:tabs>
                <w:tab w:val="center" w:pos="4536"/>
                <w:tab w:val="right" w:pos="9072"/>
              </w:tabs>
              <w:spacing w:line="256" w:lineRule="auto"/>
              <w:jc w:val="center"/>
              <w:rPr>
                <w:rStyle w:val="rvts23"/>
                <w:b/>
                <w:bCs/>
                <w:bdr w:val="none" w:sz="0" w:space="0" w:color="auto" w:frame="1"/>
                <w:lang w:val="uk-UA"/>
              </w:rPr>
            </w:pPr>
          </w:p>
          <w:p w:rsidR="00283175" w:rsidRPr="00375127" w:rsidRDefault="00283175" w:rsidP="002A5CB5">
            <w:pPr>
              <w:tabs>
                <w:tab w:val="center" w:pos="4536"/>
                <w:tab w:val="right" w:pos="9072"/>
              </w:tabs>
              <w:spacing w:line="256" w:lineRule="auto"/>
              <w:jc w:val="center"/>
              <w:rPr>
                <w:b/>
              </w:rPr>
            </w:pPr>
            <w:r w:rsidRPr="00375127">
              <w:rPr>
                <w:rStyle w:val="rvts23"/>
                <w:b/>
                <w:bCs/>
                <w:bdr w:val="none" w:sz="0" w:space="0" w:color="auto" w:frame="1"/>
              </w:rPr>
              <w:t>Установлення статусу, видача посвідчень «Учасник війни»</w:t>
            </w:r>
          </w:p>
        </w:tc>
        <w:tc>
          <w:tcPr>
            <w:tcW w:w="1930" w:type="dxa"/>
            <w:tcBorders>
              <w:top w:val="single" w:sz="4" w:space="0" w:color="000000"/>
              <w:left w:val="single" w:sz="4" w:space="0" w:color="000000"/>
              <w:bottom w:val="single" w:sz="4" w:space="0" w:color="000000"/>
              <w:right w:val="single" w:sz="4" w:space="0" w:color="000000"/>
            </w:tcBorders>
          </w:tcPr>
          <w:p w:rsidR="00283175" w:rsidRPr="00375127" w:rsidRDefault="00283175" w:rsidP="002A5CB5">
            <w:pPr>
              <w:pStyle w:val="a5"/>
              <w:snapToGrid w:val="0"/>
              <w:spacing w:line="256" w:lineRule="auto"/>
              <w:jc w:val="center"/>
              <w:rPr>
                <w:b/>
              </w:rPr>
            </w:pPr>
          </w:p>
          <w:p w:rsidR="00283175" w:rsidRDefault="00283175" w:rsidP="002A5CB5">
            <w:pPr>
              <w:pStyle w:val="a5"/>
              <w:snapToGrid w:val="0"/>
              <w:spacing w:line="256" w:lineRule="auto"/>
              <w:jc w:val="center"/>
              <w:rPr>
                <w:b/>
                <w:lang w:val="uk-UA"/>
              </w:rPr>
            </w:pPr>
          </w:p>
          <w:p w:rsidR="00283175" w:rsidRPr="00375127" w:rsidRDefault="00283175" w:rsidP="002A5CB5">
            <w:pPr>
              <w:pStyle w:val="a5"/>
              <w:snapToGrid w:val="0"/>
              <w:spacing w:line="256"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-4-10</w:t>
            </w:r>
          </w:p>
          <w:p w:rsidR="00283175" w:rsidRPr="00375127" w:rsidRDefault="00283175" w:rsidP="002A5CB5">
            <w:pPr>
              <w:pStyle w:val="a5"/>
              <w:snapToGrid w:val="0"/>
              <w:spacing w:line="256" w:lineRule="auto"/>
              <w:jc w:val="center"/>
              <w:rPr>
                <w:b/>
                <w:i/>
                <w:iCs/>
                <w:shd w:val="clear" w:color="auto" w:fill="FFFF00"/>
              </w:rPr>
            </w:pPr>
            <w:r w:rsidRPr="00375127">
              <w:rPr>
                <w:b/>
                <w:i/>
                <w:iCs/>
              </w:rPr>
              <w:t>00239*</w:t>
            </w:r>
          </w:p>
          <w:p w:rsidR="00283175" w:rsidRPr="00375127" w:rsidRDefault="00283175" w:rsidP="002A5CB5">
            <w:pPr>
              <w:pStyle w:val="a5"/>
              <w:spacing w:line="256" w:lineRule="auto"/>
              <w:jc w:val="center"/>
              <w:rPr>
                <w:b/>
                <w:shd w:val="clear" w:color="auto" w:fill="FFFF00"/>
              </w:rPr>
            </w:pPr>
          </w:p>
        </w:tc>
      </w:tr>
    </w:tbl>
    <w:p w:rsidR="00283175" w:rsidRPr="00375127" w:rsidRDefault="00283175" w:rsidP="00283175">
      <w:pPr>
        <w:rPr>
          <w:vanish/>
        </w:rPr>
      </w:pPr>
    </w:p>
    <w:tbl>
      <w:tblPr>
        <w:tblW w:w="9600" w:type="dxa"/>
        <w:tblLayout w:type="fixed"/>
        <w:tblLook w:val="04A0" w:firstRow="1" w:lastRow="0" w:firstColumn="1" w:lastColumn="0" w:noHBand="0" w:noVBand="1"/>
      </w:tblPr>
      <w:tblGrid>
        <w:gridCol w:w="588"/>
        <w:gridCol w:w="2472"/>
        <w:gridCol w:w="6540"/>
      </w:tblGrid>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snapToGrid w:val="0"/>
              <w:rPr>
                <w:spacing w:val="-3"/>
                <w:shd w:val="clear" w:color="auto" w:fill="FFFF00"/>
              </w:rPr>
            </w:pPr>
            <w:r w:rsidRPr="00375127">
              <w:t>Управління соціального захисту населення Миргородської міської ради</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283175" w:rsidRPr="00375127" w:rsidRDefault="00283175"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283175" w:rsidRPr="00375127" w:rsidRDefault="00283175" w:rsidP="002A5CB5">
            <w:pPr>
              <w:jc w:val="both"/>
            </w:pPr>
            <w:r w:rsidRPr="00375127">
              <w:t>вул. Гоголя,171/</w:t>
            </w:r>
            <w:proofErr w:type="gramStart"/>
            <w:r w:rsidRPr="00375127">
              <w:t>1,  тел</w:t>
            </w:r>
            <w:proofErr w:type="gramEnd"/>
            <w:r w:rsidRPr="00375127">
              <w:t>/факс (05355) 5-03-18</w:t>
            </w:r>
          </w:p>
          <w:p w:rsidR="00283175" w:rsidRPr="00375127" w:rsidRDefault="00283175"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283175" w:rsidRPr="00375127" w:rsidRDefault="00283175" w:rsidP="002A5CB5">
            <w:pPr>
              <w:rPr>
                <w:i/>
                <w:iCs/>
              </w:rPr>
            </w:pPr>
            <w:r w:rsidRPr="00375127">
              <w:rPr>
                <w:i/>
                <w:iCs/>
              </w:rPr>
              <w:t xml:space="preserve">Віддалені </w:t>
            </w:r>
            <w:proofErr w:type="gramStart"/>
            <w:r w:rsidRPr="00375127">
              <w:rPr>
                <w:i/>
                <w:iCs/>
              </w:rPr>
              <w:t>робочі  місця</w:t>
            </w:r>
            <w:proofErr w:type="gramEnd"/>
            <w:r w:rsidRPr="00375127">
              <w:rPr>
                <w:i/>
                <w:iCs/>
              </w:rPr>
              <w:t xml:space="preserve"> відділу «Центр надання адміністративних послуг» виконавчого комітету Миргородської міської ради у сільських населених пунктах</w:t>
            </w:r>
          </w:p>
          <w:p w:rsidR="00283175" w:rsidRPr="00375127" w:rsidRDefault="00283175" w:rsidP="002A5CB5">
            <w:r w:rsidRPr="00375127">
              <w:t>понеділок - четвер з 8.00 до 17.00</w:t>
            </w:r>
          </w:p>
          <w:p w:rsidR="00283175" w:rsidRPr="00375127" w:rsidRDefault="00283175" w:rsidP="002A5CB5">
            <w:pPr>
              <w:jc w:val="both"/>
            </w:pPr>
            <w:r w:rsidRPr="00375127">
              <w:t>п’ятниця з 8.00 до 15.45</w:t>
            </w:r>
          </w:p>
          <w:p w:rsidR="00283175" w:rsidRPr="00375127" w:rsidRDefault="00283175" w:rsidP="002A5CB5">
            <w:pPr>
              <w:snapToGrid w:val="0"/>
              <w:jc w:val="both"/>
            </w:pPr>
            <w:r w:rsidRPr="00375127">
              <w:t>перерва з 12.00 до 12.45</w:t>
            </w:r>
          </w:p>
          <w:p w:rsidR="00283175" w:rsidRPr="00375127" w:rsidRDefault="00283175" w:rsidP="002A5CB5">
            <w:pPr>
              <w:jc w:val="both"/>
            </w:pPr>
          </w:p>
          <w:p w:rsidR="00283175" w:rsidRPr="00375127" w:rsidRDefault="00283175"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283175" w:rsidRPr="00375127" w:rsidRDefault="00283175" w:rsidP="002A5CB5">
            <w:pPr>
              <w:jc w:val="both"/>
            </w:pPr>
            <w:proofErr w:type="gramStart"/>
            <w:r w:rsidRPr="00375127">
              <w:t>вул.Гоголя</w:t>
            </w:r>
            <w:proofErr w:type="gramEnd"/>
            <w:r w:rsidRPr="00375127">
              <w:t>,92, тел./факс (05355)5-32-81</w:t>
            </w:r>
          </w:p>
          <w:p w:rsidR="00283175" w:rsidRPr="00375127" w:rsidRDefault="00283175"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283175" w:rsidRPr="00375127" w:rsidRDefault="00283175" w:rsidP="002A5CB5">
            <w:r w:rsidRPr="00375127">
              <w:t>понеділок - четвер з 8.00 до 17.00</w:t>
            </w:r>
          </w:p>
          <w:p w:rsidR="00283175" w:rsidRPr="00375127" w:rsidRDefault="00283175" w:rsidP="002A5CB5">
            <w:pPr>
              <w:jc w:val="both"/>
            </w:pPr>
            <w:r w:rsidRPr="00375127">
              <w:t>п’ятниця з 8.00 до 15.45</w:t>
            </w:r>
          </w:p>
          <w:p w:rsidR="00283175" w:rsidRPr="00375127" w:rsidRDefault="00283175" w:rsidP="002A5CB5">
            <w:pPr>
              <w:snapToGrid w:val="0"/>
              <w:jc w:val="both"/>
            </w:pPr>
            <w:r w:rsidRPr="00375127">
              <w:t>перерва з 12.00 до 12.45</w:t>
            </w:r>
          </w:p>
        </w:tc>
      </w:tr>
      <w:tr w:rsidR="00283175"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pPr>
            <w:r w:rsidRPr="00375127">
              <w:t>Підстава для отримання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jc w:val="both"/>
              <w:rPr>
                <w:i/>
                <w:iCs/>
              </w:rPr>
            </w:pPr>
            <w:r w:rsidRPr="00375127">
              <w:t>Заява, наявність відповідного пакета документів</w:t>
            </w:r>
          </w:p>
        </w:tc>
      </w:tr>
      <w:tr w:rsidR="00283175"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jc w:val="both"/>
            </w:pPr>
            <w:r w:rsidRPr="00375127">
              <w:t>- заява;</w:t>
            </w:r>
          </w:p>
          <w:p w:rsidR="00283175" w:rsidRPr="00375127" w:rsidRDefault="00283175" w:rsidP="002A5CB5">
            <w:pPr>
              <w:jc w:val="both"/>
            </w:pPr>
            <w:r w:rsidRPr="00375127">
              <w:t xml:space="preserve">- фотокартка 3х4 (1 шт.); </w:t>
            </w:r>
          </w:p>
          <w:p w:rsidR="00283175" w:rsidRPr="00375127" w:rsidRDefault="00283175" w:rsidP="002A5CB5">
            <w:pPr>
              <w:jc w:val="both"/>
            </w:pPr>
            <w:r w:rsidRPr="00375127">
              <w:t>- документ який дає право на встановлення статусу:</w:t>
            </w:r>
          </w:p>
          <w:p w:rsidR="00283175" w:rsidRPr="00375127" w:rsidRDefault="00283175" w:rsidP="002A5CB5">
            <w:pPr>
              <w:jc w:val="both"/>
            </w:pPr>
            <w:r w:rsidRPr="00375127">
              <w:t xml:space="preserve"> 1.Архівні документи </w:t>
            </w:r>
            <w:proofErr w:type="gramStart"/>
            <w:r w:rsidRPr="00375127">
              <w:t>про роботу</w:t>
            </w:r>
            <w:proofErr w:type="gramEnd"/>
            <w:r w:rsidRPr="00375127">
              <w:t xml:space="preserve"> в роки війни. </w:t>
            </w:r>
          </w:p>
          <w:p w:rsidR="00283175" w:rsidRPr="00375127" w:rsidRDefault="00283175" w:rsidP="002A5CB5">
            <w:pPr>
              <w:jc w:val="both"/>
            </w:pPr>
            <w:r w:rsidRPr="00375127">
              <w:t xml:space="preserve">2.Довідка про навчання та направлення </w:t>
            </w:r>
            <w:proofErr w:type="gramStart"/>
            <w:r w:rsidRPr="00375127">
              <w:t>на роботу</w:t>
            </w:r>
            <w:proofErr w:type="gramEnd"/>
            <w:r w:rsidRPr="00375127">
              <w:t xml:space="preserve"> в період навчання.</w:t>
            </w:r>
          </w:p>
          <w:p w:rsidR="00283175" w:rsidRPr="00375127" w:rsidRDefault="00283175" w:rsidP="002A5CB5">
            <w:pPr>
              <w:jc w:val="both"/>
            </w:pPr>
            <w:r w:rsidRPr="00375127">
              <w:t xml:space="preserve"> 3.Довідка про військову службу під час війни або навчання у цей період у військових училищах, школах і на курсах. 4.Довідка про переселення. 5. Довідка про направлення на контрактній основі у держави, де велися бойові дії. Особами з числа учасників АТО, ООС надаються: - документи про безпосереднє залучення до виконання завдань антитерористичної операції в районах її проведення (витяги з наказів керівника Антитерористичного центру при СБУ або особи, яка його заміщує, першого заступника чи заступника </w:t>
            </w:r>
            <w:r w:rsidRPr="00375127">
              <w:lastRenderedPageBreak/>
              <w:t xml:space="preserve">керівника Антитерористичного центру при СБУ про залучення до забезпечення проведення антитерористичної операції, витяги з наказів керівника оперативного штабу з управління антитерористичною операцією, його заступників або керівників секторів (командирів оперативно-тактичних угрупувань) про підпорядкування керівнику оперативного штабу з управління антитерористичною операцією в районах її проведення), а також інші документи, видані державними органами, підприємствами, установами, організаціями, що містять відомості про безпосередню участь працівника в забезпеченні виконання завдань антитерористичної операції в районах її проведення (витяги з наказів і розпоряджень, посвідчень про відрядження, книг нарядів, матеріалів спеціальних (службових) розслідувань за фактами отримання поранень)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проведення антитерористичної операції, перебуваючи безпосередньо в районах її проведення; </w:t>
            </w:r>
          </w:p>
          <w:p w:rsidR="00283175" w:rsidRPr="00375127" w:rsidRDefault="00283175" w:rsidP="002A5CB5">
            <w:pPr>
              <w:jc w:val="both"/>
              <w:rPr>
                <w:i/>
                <w:iCs/>
              </w:rPr>
            </w:pPr>
            <w:r w:rsidRPr="00375127">
              <w:t>- витяги з наказів Генерального штабу Збройних Сил про залучення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Командувача об’єднаних сил, командирів оперативно-тактичних угрупувань про прибуття (вибуття) до (з) районів здійснення таких заходів, документи про направлення у відрядження до районів здійснення таких заходів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t>Спосіб подання документів/ отримання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jc w:val="both"/>
            </w:pPr>
            <w:r w:rsidRPr="00375127">
              <w:t>Заява та документи, необхідні для видачі посвідчення, подаються особою суб’єкту надання адміністративної послуги:</w:t>
            </w:r>
          </w:p>
          <w:p w:rsidR="00283175" w:rsidRPr="00375127" w:rsidRDefault="00283175" w:rsidP="002A5CB5">
            <w:pPr>
              <w:jc w:val="both"/>
            </w:pPr>
            <w:r w:rsidRPr="00375127">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283175" w:rsidRPr="00375127" w:rsidRDefault="00283175" w:rsidP="002A5CB5">
            <w:pPr>
              <w:snapToGrid w:val="0"/>
              <w:jc w:val="both"/>
            </w:pPr>
            <w:r w:rsidRPr="00375127">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 xml:space="preserve">6. </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snapToGrid w:val="0"/>
              <w:jc w:val="both"/>
            </w:pPr>
            <w:r w:rsidRPr="00375127">
              <w:t>Послуга надається безоплатно</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7.</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tabs>
                <w:tab w:val="center" w:pos="4536"/>
                <w:tab w:val="right" w:pos="9072"/>
              </w:tabs>
            </w:pPr>
            <w:r w:rsidRPr="00375127">
              <w:t>До 30 днів</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r w:rsidRPr="00375127">
              <w:t>Перелік підстав для відмови</w:t>
            </w:r>
          </w:p>
          <w:p w:rsidR="00283175" w:rsidRPr="00375127" w:rsidRDefault="00283175" w:rsidP="002A5CB5">
            <w:pPr>
              <w:snapToGrid w:val="0"/>
              <w:jc w:val="both"/>
              <w:rPr>
                <w:spacing w:val="-4"/>
              </w:rPr>
            </w:pPr>
            <w:r w:rsidRPr="00375127">
              <w:t xml:space="preserve">у наданні </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widowControl w:val="0"/>
              <w:shd w:val="clear" w:color="auto" w:fill="FFFFFF"/>
              <w:tabs>
                <w:tab w:val="left" w:pos="1282"/>
              </w:tabs>
              <w:autoSpaceDE w:val="0"/>
              <w:snapToGrid w:val="0"/>
              <w:jc w:val="both"/>
            </w:pPr>
            <w:r w:rsidRPr="00375127">
              <w:t xml:space="preserve">Послуга не надається у разі не подання відповідних документів </w:t>
            </w:r>
          </w:p>
        </w:tc>
      </w:tr>
      <w:tr w:rsidR="00283175"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lastRenderedPageBreak/>
              <w:t>9.</w:t>
            </w:r>
          </w:p>
        </w:tc>
        <w:tc>
          <w:tcPr>
            <w:tcW w:w="2472" w:type="dxa"/>
            <w:tcBorders>
              <w:top w:val="single" w:sz="4" w:space="0" w:color="000000"/>
              <w:left w:val="single" w:sz="4" w:space="0" w:color="000000"/>
              <w:bottom w:val="single" w:sz="4" w:space="0" w:color="000000"/>
              <w:right w:val="nil"/>
            </w:tcBorders>
          </w:tcPr>
          <w:p w:rsidR="00283175" w:rsidRPr="00375127" w:rsidRDefault="00283175" w:rsidP="002A5CB5">
            <w:pPr>
              <w:jc w:val="both"/>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jc w:val="both"/>
            </w:pPr>
            <w:r w:rsidRPr="00375127">
              <w:t xml:space="preserve">Видача посвідчень / відмова у видачі посвідчень </w:t>
            </w:r>
          </w:p>
        </w:tc>
      </w:tr>
      <w:tr w:rsidR="00283175" w:rsidRPr="00375127" w:rsidTr="002A5CB5">
        <w:tc>
          <w:tcPr>
            <w:tcW w:w="588"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hideMark/>
          </w:tcPr>
          <w:p w:rsidR="00283175" w:rsidRPr="00375127" w:rsidRDefault="00283175" w:rsidP="002A5CB5">
            <w:pPr>
              <w:snapToGrid w:val="0"/>
              <w:jc w:val="both"/>
              <w:rPr>
                <w:spacing w:val="5"/>
              </w:rPr>
            </w:pPr>
            <w:r w:rsidRPr="00375127">
              <w:t>Способи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283175" w:rsidRPr="00375127" w:rsidRDefault="00283175" w:rsidP="002A5CB5">
            <w:pPr>
              <w:pStyle w:val="a3"/>
              <w:ind w:left="0"/>
              <w:jc w:val="both"/>
              <w:rPr>
                <w:sz w:val="24"/>
                <w:szCs w:val="24"/>
              </w:rPr>
            </w:pPr>
            <w:r w:rsidRPr="00375127">
              <w:rPr>
                <w:sz w:val="24"/>
                <w:szCs w:val="24"/>
              </w:rPr>
              <w:t xml:space="preserve">Посвідчення видаються особисто </w:t>
            </w:r>
          </w:p>
        </w:tc>
      </w:tr>
      <w:tr w:rsidR="00283175" w:rsidRPr="00375127" w:rsidTr="002A5CB5">
        <w:tc>
          <w:tcPr>
            <w:tcW w:w="588" w:type="dxa"/>
            <w:tcBorders>
              <w:top w:val="single" w:sz="4" w:space="0" w:color="000000"/>
              <w:left w:val="single" w:sz="4" w:space="0" w:color="000000"/>
              <w:bottom w:val="single" w:sz="4" w:space="0" w:color="000000"/>
              <w:right w:val="nil"/>
            </w:tcBorders>
          </w:tcPr>
          <w:p w:rsidR="00283175" w:rsidRPr="00375127" w:rsidRDefault="00283175" w:rsidP="002A5CB5">
            <w:pPr>
              <w:snapToGrid w:val="0"/>
              <w:jc w:val="both"/>
              <w:rPr>
                <w:spacing w:val="5"/>
              </w:rPr>
            </w:pPr>
            <w:r w:rsidRPr="00375127">
              <w:rPr>
                <w:spacing w:val="5"/>
              </w:rPr>
              <w:t>11.</w:t>
            </w:r>
          </w:p>
        </w:tc>
        <w:tc>
          <w:tcPr>
            <w:tcW w:w="2472" w:type="dxa"/>
            <w:tcBorders>
              <w:top w:val="single" w:sz="4" w:space="0" w:color="000000"/>
              <w:left w:val="single" w:sz="4" w:space="0" w:color="000000"/>
              <w:bottom w:val="single" w:sz="4" w:space="0" w:color="000000"/>
              <w:right w:val="nil"/>
            </w:tcBorders>
          </w:tcPr>
          <w:p w:rsidR="00283175" w:rsidRPr="00375127" w:rsidRDefault="00283175" w:rsidP="002A5CB5">
            <w:pPr>
              <w:snapToGrid w:val="0"/>
              <w:jc w:val="both"/>
            </w:pPr>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283175" w:rsidRPr="00375127" w:rsidRDefault="00283175" w:rsidP="002A5CB5">
            <w:pPr>
              <w:snapToGrid w:val="0"/>
              <w:jc w:val="both"/>
            </w:pPr>
            <w:r w:rsidRPr="00375127">
              <w:t>1. Закон України «Про статус ветеранів війни, гарантії їх соціального захисту»;</w:t>
            </w:r>
          </w:p>
          <w:p w:rsidR="00283175" w:rsidRPr="00375127" w:rsidRDefault="00283175" w:rsidP="002A5CB5">
            <w:pPr>
              <w:snapToGrid w:val="0"/>
              <w:jc w:val="both"/>
            </w:pPr>
            <w:r w:rsidRPr="00375127">
              <w:t xml:space="preserve">2. Постанови Кабінету Міністрів України: </w:t>
            </w:r>
          </w:p>
          <w:p w:rsidR="00283175" w:rsidRPr="00375127" w:rsidRDefault="00283175" w:rsidP="002A5CB5">
            <w:pPr>
              <w:snapToGrid w:val="0"/>
              <w:jc w:val="both"/>
            </w:pPr>
            <w:r w:rsidRPr="00375127">
              <w:t>- від 12. 05. 1994 №302 «Про порядок видачі посвідчень і нагрудних знаків ветеранів війни», зі змінами,</w:t>
            </w:r>
          </w:p>
          <w:p w:rsidR="00283175" w:rsidRPr="00375127" w:rsidRDefault="00283175" w:rsidP="002A5CB5">
            <w:pPr>
              <w:snapToGrid w:val="0"/>
              <w:jc w:val="both"/>
            </w:pPr>
            <w:r w:rsidRPr="00375127">
              <w:t xml:space="preserve">- від 26. 04. 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зі змінами; </w:t>
            </w:r>
          </w:p>
          <w:p w:rsidR="00283175" w:rsidRPr="00375127" w:rsidRDefault="00283175" w:rsidP="002A5CB5">
            <w:pPr>
              <w:snapToGrid w:val="0"/>
              <w:jc w:val="both"/>
            </w:pPr>
            <w:r w:rsidRPr="00375127">
              <w:t>- від 23. 09. 2015 № 739 «Питання надання статусу учасника війни деяким особам», зі змінами;</w:t>
            </w:r>
          </w:p>
          <w:p w:rsidR="00283175" w:rsidRPr="00375127" w:rsidRDefault="00283175" w:rsidP="002A5CB5">
            <w:pPr>
              <w:pStyle w:val="a3"/>
              <w:ind w:left="0"/>
              <w:jc w:val="both"/>
              <w:rPr>
                <w:sz w:val="24"/>
                <w:szCs w:val="24"/>
              </w:rPr>
            </w:pPr>
            <w:r w:rsidRPr="00375127">
              <w:rPr>
                <w:sz w:val="24"/>
                <w:szCs w:val="24"/>
              </w:rPr>
              <w:t>3.  Наказ Міністерства соціального захисту населення України від 30. 05. 1996 №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p>
        </w:tc>
      </w:tr>
      <w:tr w:rsidR="00283175" w:rsidRPr="00682FC2" w:rsidTr="002A5CB5">
        <w:tc>
          <w:tcPr>
            <w:tcW w:w="588" w:type="dxa"/>
            <w:tcBorders>
              <w:top w:val="single" w:sz="4" w:space="0" w:color="000000"/>
              <w:left w:val="single" w:sz="4" w:space="0" w:color="000000"/>
              <w:bottom w:val="single" w:sz="4" w:space="0" w:color="000000"/>
              <w:right w:val="nil"/>
            </w:tcBorders>
            <w:shd w:val="clear" w:color="auto" w:fill="auto"/>
          </w:tcPr>
          <w:p w:rsidR="00283175" w:rsidRPr="00232713" w:rsidRDefault="00283175" w:rsidP="002A5CB5">
            <w:pPr>
              <w:snapToGrid w:val="0"/>
              <w:jc w:val="both"/>
              <w:rPr>
                <w:spacing w:val="5"/>
              </w:rPr>
            </w:pPr>
            <w:r w:rsidRPr="00232713">
              <w:rPr>
                <w:spacing w:val="5"/>
              </w:rPr>
              <w:t>1</w:t>
            </w:r>
            <w:r>
              <w:rPr>
                <w:spacing w:val="5"/>
                <w:lang w:val="uk-UA"/>
              </w:rPr>
              <w:t>2</w:t>
            </w:r>
            <w:r w:rsidRPr="00232713">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283175" w:rsidRPr="00232713" w:rsidRDefault="00283175" w:rsidP="002A5CB5">
            <w:pPr>
              <w:snapToGrid w:val="0"/>
              <w:jc w:val="both"/>
              <w:rPr>
                <w:spacing w:val="5"/>
              </w:rPr>
            </w:pPr>
            <w:r w:rsidRPr="00232713">
              <w:rPr>
                <w:spacing w:val="5"/>
              </w:rPr>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283175" w:rsidRPr="00232713" w:rsidRDefault="00283175" w:rsidP="002A5CB5">
            <w:pPr>
              <w:snapToGrid w:val="0"/>
              <w:jc w:val="both"/>
            </w:pPr>
            <w:r w:rsidRPr="00232713">
              <w:t xml:space="preserve">Дії або бездіяльністю надавача адміністративної послуги можуть бути оскаржені </w:t>
            </w:r>
            <w:proofErr w:type="gramStart"/>
            <w:r w:rsidRPr="00232713">
              <w:t>в порядку</w:t>
            </w:r>
            <w:proofErr w:type="gramEnd"/>
            <w:r w:rsidRPr="00232713">
              <w:t>, встановленому Законом України «Про адміністративну процедуру»:</w:t>
            </w:r>
          </w:p>
          <w:p w:rsidR="00283175" w:rsidRPr="00DE661F" w:rsidRDefault="00283175" w:rsidP="00283175">
            <w:pPr>
              <w:numPr>
                <w:ilvl w:val="0"/>
                <w:numId w:val="1"/>
              </w:numPr>
              <w:snapToGrid w:val="0"/>
              <w:ind w:left="342"/>
              <w:jc w:val="both"/>
            </w:pPr>
            <w:r w:rsidRPr="00232713">
              <w:t xml:space="preserve">до </w:t>
            </w:r>
            <w:r>
              <w:rPr>
                <w:bCs/>
                <w:lang w:val="uk-UA"/>
              </w:rPr>
              <w:t xml:space="preserve">Управління </w:t>
            </w:r>
            <w:proofErr w:type="gramStart"/>
            <w:r>
              <w:rPr>
                <w:bCs/>
                <w:lang w:val="uk-UA"/>
              </w:rPr>
              <w:t>у справах</w:t>
            </w:r>
            <w:proofErr w:type="gramEnd"/>
            <w:r>
              <w:rPr>
                <w:bCs/>
                <w:lang w:val="uk-UA"/>
              </w:rPr>
              <w:t xml:space="preserve"> реінтеграції, сціального захисту ветеранів та внутрішньо переміщених осіб П</w:t>
            </w:r>
            <w:r w:rsidRPr="00F95359">
              <w:rPr>
                <w:bCs/>
              </w:rPr>
              <w:t>олтавської обласної військової адміністрації</w:t>
            </w:r>
            <w:r>
              <w:rPr>
                <w:bCs/>
                <w:lang w:val="uk-UA"/>
              </w:rPr>
              <w:t>;</w:t>
            </w:r>
            <w:r w:rsidRPr="00232713">
              <w:t xml:space="preserve"> </w:t>
            </w:r>
          </w:p>
          <w:p w:rsidR="00283175" w:rsidRPr="00232713" w:rsidRDefault="00283175" w:rsidP="00283175">
            <w:pPr>
              <w:numPr>
                <w:ilvl w:val="0"/>
                <w:numId w:val="1"/>
              </w:numPr>
              <w:snapToGrid w:val="0"/>
              <w:ind w:left="342"/>
              <w:jc w:val="both"/>
            </w:pPr>
            <w:proofErr w:type="gramStart"/>
            <w:r w:rsidRPr="00232713">
              <w:t>до суду</w:t>
            </w:r>
            <w:proofErr w:type="gramEnd"/>
          </w:p>
        </w:tc>
      </w:tr>
    </w:tbl>
    <w:p w:rsidR="00283175" w:rsidRPr="00375127" w:rsidRDefault="00283175" w:rsidP="00283175"/>
    <w:p w:rsidR="00283175" w:rsidRPr="00375127" w:rsidRDefault="00283175" w:rsidP="00283175"/>
    <w:p w:rsidR="00283175" w:rsidRPr="00375127" w:rsidRDefault="00283175" w:rsidP="00283175"/>
    <w:p w:rsidR="00283175" w:rsidRPr="00375127" w:rsidRDefault="00283175" w:rsidP="00283175"/>
    <w:p w:rsidR="00283175" w:rsidRPr="00375127" w:rsidRDefault="00283175" w:rsidP="00283175"/>
    <w:p w:rsidR="00283175" w:rsidRPr="00375127" w:rsidRDefault="00283175" w:rsidP="00283175">
      <w:pPr>
        <w:rPr>
          <w:color w:val="FF0000"/>
        </w:rPr>
      </w:pPr>
    </w:p>
    <w:p w:rsidR="00E5237B" w:rsidRDefault="00E5237B" w:rsidP="00E5237B">
      <w:pPr>
        <w:rPr>
          <w:b/>
          <w:lang w:val="uk-UA"/>
        </w:rPr>
      </w:pPr>
    </w:p>
    <w:p w:rsidR="00B30E38" w:rsidRPr="00375127" w:rsidRDefault="00B30E38" w:rsidP="00B30E38">
      <w:pPr>
        <w:rPr>
          <w:lang w:val="uk-UA"/>
        </w:rPr>
      </w:pPr>
    </w:p>
    <w:p w:rsidR="00B02838" w:rsidRPr="00B30E38" w:rsidRDefault="00B02838" w:rsidP="00B02838">
      <w:pPr>
        <w:rPr>
          <w:lang w:val="uk-UA"/>
        </w:rPr>
      </w:pPr>
    </w:p>
    <w:p w:rsidR="00B02838" w:rsidRPr="00375127" w:rsidRDefault="00B02838" w:rsidP="00B02838">
      <w:pPr>
        <w:rPr>
          <w:color w:val="FF0000"/>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42D48"/>
    <w:rsid w:val="002562A6"/>
    <w:rsid w:val="00283175"/>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2024-06-03T10:48:00Z</dcterms:created>
  <dcterms:modified xsi:type="dcterms:W3CDTF">2024-06-03T10:48:00Z</dcterms:modified>
</cp:coreProperties>
</file>